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C8A" w:rsidRDefault="00CB6684">
      <w:pPr>
        <w:widowControl/>
        <w:spacing w:beforeLines="50" w:before="156" w:line="360" w:lineRule="auto"/>
        <w:jc w:val="center"/>
        <w:rPr>
          <w:rFonts w:ascii="方正小标宋简体" w:eastAsia="方正小标宋简体"/>
          <w:b/>
          <w:sz w:val="44"/>
          <w:szCs w:val="44"/>
        </w:rPr>
      </w:pPr>
      <w:bookmarkStart w:id="0" w:name="_GoBack"/>
      <w:bookmarkEnd w:id="0"/>
      <w:r>
        <w:rPr>
          <w:rFonts w:ascii="方正小标宋简体" w:eastAsia="方正小标宋简体" w:hint="eastAsia"/>
          <w:b/>
          <w:sz w:val="44"/>
          <w:szCs w:val="44"/>
        </w:rPr>
        <w:t>“智慧农业”微专业</w:t>
      </w:r>
    </w:p>
    <w:p w:rsidR="008C2C8A" w:rsidRDefault="00CB6684">
      <w:pPr>
        <w:widowControl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为响应国家乡村振兴战略，服务贵州现代山地特色高效农业</w:t>
      </w:r>
      <w:r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发展需求，农学院</w:t>
      </w:r>
      <w:r>
        <w:rPr>
          <w:rFonts w:ascii="仿宋_GB2312" w:eastAsia="仿宋_GB2312" w:hint="eastAsia"/>
          <w:sz w:val="32"/>
          <w:szCs w:val="32"/>
        </w:rPr>
        <w:t>特</w:t>
      </w:r>
      <w:r>
        <w:rPr>
          <w:rFonts w:ascii="仿宋_GB2312" w:eastAsia="仿宋_GB2312" w:hint="eastAsia"/>
          <w:sz w:val="32"/>
          <w:szCs w:val="32"/>
        </w:rPr>
        <w:t>设立“智慧农业”微专业，</w:t>
      </w:r>
      <w:r>
        <w:rPr>
          <w:rFonts w:ascii="仿宋_GB2312" w:eastAsia="仿宋_GB2312" w:hint="eastAsia"/>
          <w:sz w:val="32"/>
          <w:szCs w:val="32"/>
        </w:rPr>
        <w:t>并</w:t>
      </w:r>
      <w:r>
        <w:rPr>
          <w:rFonts w:ascii="仿宋_GB2312" w:eastAsia="仿宋_GB2312" w:hint="eastAsia"/>
          <w:sz w:val="32"/>
          <w:szCs w:val="32"/>
        </w:rPr>
        <w:t>抽调</w:t>
      </w:r>
      <w:r>
        <w:rPr>
          <w:rFonts w:ascii="仿宋_GB2312" w:eastAsia="仿宋_GB2312" w:hint="eastAsia"/>
          <w:sz w:val="32"/>
          <w:szCs w:val="32"/>
        </w:rPr>
        <w:t>精干</w:t>
      </w:r>
      <w:r>
        <w:rPr>
          <w:rFonts w:ascii="仿宋_GB2312" w:eastAsia="仿宋_GB2312" w:hint="eastAsia"/>
          <w:sz w:val="32"/>
          <w:szCs w:val="32"/>
        </w:rPr>
        <w:t>教师</w:t>
      </w:r>
      <w:r>
        <w:rPr>
          <w:rFonts w:ascii="仿宋_GB2312" w:eastAsia="仿宋_GB2312" w:hint="eastAsia"/>
          <w:sz w:val="32"/>
          <w:szCs w:val="32"/>
        </w:rPr>
        <w:t>组建高水平教学团队</w:t>
      </w:r>
      <w:r>
        <w:rPr>
          <w:rFonts w:ascii="仿宋_GB2312" w:eastAsia="仿宋_GB2312" w:hint="eastAsia"/>
          <w:sz w:val="32"/>
          <w:szCs w:val="32"/>
        </w:rPr>
        <w:t>授课。本微专业</w:t>
      </w:r>
      <w:r>
        <w:rPr>
          <w:rFonts w:ascii="仿宋_GB2312" w:eastAsia="仿宋_GB2312" w:hint="eastAsia"/>
          <w:sz w:val="32"/>
          <w:szCs w:val="32"/>
        </w:rPr>
        <w:t>旨在</w:t>
      </w:r>
      <w:r>
        <w:rPr>
          <w:rFonts w:ascii="仿宋_GB2312" w:eastAsia="仿宋_GB2312" w:hint="eastAsia"/>
          <w:sz w:val="32"/>
          <w:szCs w:val="32"/>
        </w:rPr>
        <w:t>通过</w:t>
      </w:r>
      <w:r>
        <w:rPr>
          <w:rFonts w:ascii="仿宋_GB2312" w:eastAsia="仿宋_GB2312" w:hint="eastAsia"/>
          <w:sz w:val="32"/>
          <w:szCs w:val="32"/>
        </w:rPr>
        <w:t>融合传统农</w:t>
      </w:r>
      <w:r>
        <w:rPr>
          <w:rFonts w:ascii="仿宋_GB2312" w:eastAsia="仿宋_GB2312" w:hint="eastAsia"/>
          <w:sz w:val="32"/>
          <w:szCs w:val="32"/>
        </w:rPr>
        <w:t>学</w:t>
      </w:r>
      <w:r>
        <w:rPr>
          <w:rFonts w:ascii="仿宋_GB2312" w:eastAsia="仿宋_GB2312" w:hint="eastAsia"/>
          <w:sz w:val="32"/>
          <w:szCs w:val="32"/>
        </w:rPr>
        <w:t>与信息技术，</w:t>
      </w:r>
      <w:r>
        <w:rPr>
          <w:rFonts w:ascii="仿宋_GB2312" w:eastAsia="仿宋_GB2312" w:hint="eastAsia"/>
          <w:sz w:val="32"/>
          <w:szCs w:val="32"/>
        </w:rPr>
        <w:t>培养</w:t>
      </w:r>
      <w:r>
        <w:rPr>
          <w:rFonts w:ascii="仿宋_GB2312" w:eastAsia="仿宋_GB2312" w:hint="eastAsia"/>
          <w:sz w:val="32"/>
          <w:szCs w:val="32"/>
        </w:rPr>
        <w:t>掌握</w:t>
      </w:r>
      <w:r>
        <w:rPr>
          <w:rFonts w:ascii="仿宋_GB2312" w:eastAsia="仿宋_GB2312" w:hint="eastAsia"/>
          <w:sz w:val="32"/>
          <w:szCs w:val="32"/>
        </w:rPr>
        <w:t>农业数据感知、</w:t>
      </w:r>
      <w:r>
        <w:rPr>
          <w:rFonts w:ascii="仿宋_GB2312" w:eastAsia="仿宋_GB2312" w:hint="eastAsia"/>
          <w:sz w:val="32"/>
          <w:szCs w:val="32"/>
        </w:rPr>
        <w:t>处理</w:t>
      </w:r>
      <w:r>
        <w:rPr>
          <w:rFonts w:ascii="仿宋_GB2312" w:eastAsia="仿宋_GB2312" w:hint="eastAsia"/>
          <w:sz w:val="32"/>
          <w:szCs w:val="32"/>
        </w:rPr>
        <w:t>、分析与决策能力的交叉复合型人才，</w:t>
      </w:r>
      <w:r>
        <w:rPr>
          <w:rFonts w:ascii="仿宋_GB2312" w:eastAsia="仿宋_GB2312" w:hint="eastAsia"/>
          <w:sz w:val="32"/>
          <w:szCs w:val="32"/>
        </w:rPr>
        <w:t>从而增强学生的</w:t>
      </w:r>
      <w:r>
        <w:rPr>
          <w:rFonts w:ascii="仿宋_GB2312" w:eastAsia="仿宋_GB2312" w:hint="eastAsia"/>
          <w:sz w:val="32"/>
          <w:szCs w:val="32"/>
        </w:rPr>
        <w:t>就业竞争力。</w:t>
      </w:r>
    </w:p>
    <w:p w:rsidR="008C2C8A" w:rsidRDefault="00CB6684">
      <w:pPr>
        <w:widowControl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“智慧农业”微专业开设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学期，</w:t>
      </w:r>
      <w:r>
        <w:rPr>
          <w:rFonts w:ascii="仿宋_GB2312" w:eastAsia="仿宋_GB2312" w:hint="eastAsia"/>
          <w:color w:val="C00000"/>
          <w:sz w:val="32"/>
          <w:szCs w:val="32"/>
        </w:rPr>
        <w:t>1</w:t>
      </w:r>
      <w:r>
        <w:rPr>
          <w:rFonts w:ascii="仿宋_GB2312" w:eastAsia="仿宋_GB2312" w:hint="eastAsia"/>
          <w:color w:val="C00000"/>
          <w:sz w:val="32"/>
          <w:szCs w:val="32"/>
        </w:rPr>
        <w:t>5</w:t>
      </w:r>
      <w:r>
        <w:rPr>
          <w:rFonts w:ascii="仿宋_GB2312" w:eastAsia="仿宋_GB2312" w:hint="eastAsia"/>
          <w:color w:val="C00000"/>
          <w:sz w:val="32"/>
          <w:szCs w:val="32"/>
        </w:rPr>
        <w:t>学分</w:t>
      </w:r>
      <w:r>
        <w:rPr>
          <w:rFonts w:ascii="仿宋_GB2312" w:eastAsia="仿宋_GB2312" w:hint="eastAsia"/>
          <w:sz w:val="32"/>
          <w:szCs w:val="32"/>
        </w:rPr>
        <w:t>，依托物联网、遥感、大数据等信息技术，聚焦山地环境，开设“智慧农业导论与技术”“智慧种植”“农业大数据采集与分析”“农业智能装备”“农产品电商与数字供应链”“智慧农业项目集成与实战”等</w:t>
      </w:r>
      <w:r>
        <w:rPr>
          <w:rFonts w:ascii="仿宋_GB2312" w:eastAsia="仿宋_GB2312" w:hint="eastAsia"/>
          <w:color w:val="C00000"/>
          <w:sz w:val="32"/>
          <w:szCs w:val="32"/>
        </w:rPr>
        <w:t>6</w:t>
      </w:r>
      <w:r>
        <w:rPr>
          <w:rFonts w:ascii="仿宋_GB2312" w:eastAsia="仿宋_GB2312" w:hint="eastAsia"/>
          <w:color w:val="C00000"/>
          <w:sz w:val="32"/>
          <w:szCs w:val="32"/>
        </w:rPr>
        <w:t>门</w:t>
      </w:r>
      <w:r>
        <w:rPr>
          <w:rFonts w:ascii="仿宋_GB2312" w:eastAsia="仿宋_GB2312" w:hint="eastAsia"/>
          <w:sz w:val="32"/>
          <w:szCs w:val="32"/>
        </w:rPr>
        <w:t>课程。</w:t>
      </w:r>
    </w:p>
    <w:p w:rsidR="008C2C8A" w:rsidRDefault="00CB6684">
      <w:pPr>
        <w:widowControl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“智慧农业”微专业由农学院牵头，联合大数据与信息工程学院、机械工程学院等单位共建，依托植物保护世界一流建设学科及农学、园艺国家一流专业，师资力量雄厚，教学团队包括教育部教育指导委员会委员、省级教学名师及青年骨干教师，以及北京市农林科学院、贵州省现代种业集团的行业、产业专家，形成了“校内导师</w:t>
      </w:r>
      <w:r>
        <w:rPr>
          <w:rFonts w:ascii="仿宋_GB2312" w:eastAsia="仿宋_GB2312" w:hint="eastAsia"/>
          <w:sz w:val="32"/>
          <w:szCs w:val="32"/>
        </w:rPr>
        <w:t>+</w:t>
      </w:r>
      <w:r>
        <w:rPr>
          <w:rFonts w:ascii="仿宋_GB2312" w:eastAsia="仿宋_GB2312" w:hint="eastAsia"/>
          <w:sz w:val="32"/>
          <w:szCs w:val="32"/>
        </w:rPr>
        <w:t>企业导师”的双师型教学</w:t>
      </w:r>
      <w:r>
        <w:rPr>
          <w:rFonts w:ascii="仿宋_GB2312" w:eastAsia="仿宋_GB2312" w:hint="eastAsia"/>
          <w:sz w:val="32"/>
          <w:szCs w:val="32"/>
        </w:rPr>
        <w:t>团队。“智慧农业”微专业通过模块化课程与实训，为学生提供跨学科知识体系与产业实践平台，强化跨学科思维和实践能力培养。</w:t>
      </w:r>
    </w:p>
    <w:p w:rsidR="008C2C8A" w:rsidRDefault="00CB6684">
      <w:pPr>
        <w:widowControl/>
        <w:spacing w:line="560" w:lineRule="exact"/>
        <w:ind w:firstLineChars="200" w:firstLine="640"/>
        <w:rPr>
          <w:rFonts w:ascii="仿宋_GB2312" w:eastAsia="仿宋_GB2312"/>
          <w:color w:val="C00000"/>
          <w:sz w:val="32"/>
          <w:szCs w:val="32"/>
        </w:rPr>
      </w:pPr>
      <w:r>
        <w:rPr>
          <w:rFonts w:ascii="仿宋_GB2312" w:eastAsia="仿宋_GB2312" w:hint="eastAsia"/>
          <w:color w:val="C00000"/>
          <w:sz w:val="32"/>
          <w:szCs w:val="32"/>
        </w:rPr>
        <w:t>报名条件：</w:t>
      </w:r>
      <w:r>
        <w:rPr>
          <w:rFonts w:ascii="仿宋_GB2312" w:eastAsia="仿宋_GB2312" w:hint="eastAsia"/>
          <w:color w:val="C00000"/>
          <w:sz w:val="32"/>
          <w:szCs w:val="32"/>
        </w:rPr>
        <w:t>本微专业主要面向本校全日制本科二年级及三年级学生。申请者须学有余力，主修专业成绩良好，且所有已</w:t>
      </w:r>
      <w:r>
        <w:rPr>
          <w:rFonts w:ascii="仿宋_GB2312" w:eastAsia="仿宋_GB2312" w:hint="eastAsia"/>
          <w:color w:val="C00000"/>
          <w:sz w:val="32"/>
          <w:szCs w:val="32"/>
        </w:rPr>
        <w:lastRenderedPageBreak/>
        <w:t>修课程均无不及格记录。欢迎并鼓励具有信息技术、机械工程等相关学科背景的同学跨专业修读。</w:t>
      </w:r>
    </w:p>
    <w:p w:rsidR="008C2C8A" w:rsidRDefault="008C2C8A">
      <w:pPr>
        <w:widowControl/>
        <w:spacing w:line="560" w:lineRule="exact"/>
        <w:ind w:firstLineChars="200" w:firstLine="640"/>
        <w:rPr>
          <w:rFonts w:ascii="仿宋_GB2312" w:eastAsia="仿宋_GB2312"/>
          <w:color w:val="C00000"/>
          <w:sz w:val="32"/>
          <w:szCs w:val="32"/>
        </w:rPr>
      </w:pPr>
    </w:p>
    <w:p w:rsidR="008C2C8A" w:rsidRDefault="00CB6684">
      <w:pPr>
        <w:widowControl/>
        <w:spacing w:line="560" w:lineRule="exact"/>
        <w:ind w:firstLineChars="200" w:firstLine="640"/>
        <w:rPr>
          <w:rFonts w:ascii="仿宋_GB2312" w:eastAsia="仿宋_GB2312"/>
          <w:color w:val="C00000"/>
          <w:sz w:val="32"/>
          <w:szCs w:val="32"/>
        </w:rPr>
      </w:pPr>
      <w:r>
        <w:rPr>
          <w:rFonts w:ascii="仿宋_GB2312" w:eastAsia="仿宋_GB2312" w:hint="eastAsia"/>
          <w:color w:val="C00000"/>
          <w:sz w:val="32"/>
          <w:szCs w:val="32"/>
        </w:rPr>
        <w:t>联系方式：</w:t>
      </w:r>
      <w:r>
        <w:rPr>
          <w:rFonts w:ascii="仿宋_GB2312" w:eastAsia="仿宋_GB2312" w:hint="eastAsia"/>
          <w:color w:val="C00000"/>
          <w:sz w:val="32"/>
          <w:szCs w:val="32"/>
        </w:rPr>
        <w:t>李鲁华，</w:t>
      </w:r>
      <w:r>
        <w:rPr>
          <w:rFonts w:ascii="仿宋_GB2312" w:eastAsia="仿宋_GB2312" w:hint="eastAsia"/>
          <w:color w:val="C00000"/>
          <w:sz w:val="32"/>
          <w:szCs w:val="32"/>
        </w:rPr>
        <w:t>18798737690</w:t>
      </w:r>
      <w:r>
        <w:rPr>
          <w:rFonts w:ascii="仿宋_GB2312" w:eastAsia="仿宋_GB2312" w:hint="eastAsia"/>
          <w:color w:val="C00000"/>
          <w:sz w:val="32"/>
          <w:szCs w:val="32"/>
        </w:rPr>
        <w:t>；</w:t>
      </w:r>
      <w:r>
        <w:rPr>
          <w:rFonts w:ascii="仿宋_GB2312" w:eastAsia="仿宋_GB2312" w:hint="eastAsia"/>
          <w:color w:val="C00000"/>
          <w:sz w:val="32"/>
          <w:szCs w:val="32"/>
        </w:rPr>
        <w:t>黄明进，</w:t>
      </w:r>
      <w:r>
        <w:rPr>
          <w:rFonts w:ascii="仿宋_GB2312" w:eastAsia="仿宋_GB2312" w:hint="eastAsia"/>
          <w:color w:val="C00000"/>
          <w:sz w:val="32"/>
          <w:szCs w:val="32"/>
        </w:rPr>
        <w:t>18798888615</w:t>
      </w:r>
    </w:p>
    <w:p w:rsidR="008C2C8A" w:rsidRDefault="008C2C8A">
      <w:pPr>
        <w:rPr>
          <w:color w:val="C00000"/>
        </w:rPr>
      </w:pPr>
    </w:p>
    <w:p w:rsidR="008C2C8A" w:rsidRDefault="008C2C8A"/>
    <w:p w:rsidR="008C2C8A" w:rsidRDefault="008C2C8A"/>
    <w:p w:rsidR="008C2C8A" w:rsidRDefault="00CB6684">
      <w:pPr>
        <w:rPr>
          <w:sz w:val="32"/>
          <w:szCs w:val="32"/>
        </w:rPr>
      </w:pPr>
      <w:r>
        <w:rPr>
          <w:noProof/>
          <w:sz w:val="24"/>
        </w:rPr>
        <w:drawing>
          <wp:inline distT="0" distB="0" distL="0" distR="0">
            <wp:extent cx="5274310" cy="3957320"/>
            <wp:effectExtent l="0" t="0" r="2540" b="5080"/>
            <wp:docPr id="1784646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46609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8A" w:rsidRDefault="00CB6684">
      <w:pPr>
        <w:rPr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03370"/>
            <wp:effectExtent l="0" t="0" r="2540" b="0"/>
            <wp:docPr id="7529631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63160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8A" w:rsidRDefault="008C2C8A">
      <w:pPr>
        <w:rPr>
          <w:sz w:val="32"/>
          <w:szCs w:val="32"/>
        </w:rPr>
      </w:pPr>
    </w:p>
    <w:p w:rsidR="008C2C8A" w:rsidRDefault="00CB6684">
      <w:pPr>
        <w:rPr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03650"/>
            <wp:effectExtent l="0" t="0" r="2540" b="6350"/>
            <wp:docPr id="2102238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3812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8A" w:rsidRDefault="008C2C8A">
      <w:pPr>
        <w:rPr>
          <w:sz w:val="32"/>
          <w:szCs w:val="32"/>
        </w:rPr>
      </w:pPr>
    </w:p>
    <w:p w:rsidR="008C2C8A" w:rsidRDefault="00CB6684">
      <w:pPr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4310" cy="26384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C8A">
      <w:footerReference w:type="default" r:id="rId11"/>
      <w:pgSz w:w="11906" w:h="16838"/>
      <w:pgMar w:top="2098" w:right="1588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684" w:rsidRDefault="00CB6684">
      <w:r>
        <w:separator/>
      </w:r>
    </w:p>
  </w:endnote>
  <w:endnote w:type="continuationSeparator" w:id="0">
    <w:p w:rsidR="00CB6684" w:rsidRDefault="00CB6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3170109"/>
      <w:docPartObj>
        <w:docPartGallery w:val="AutoText"/>
      </w:docPartObj>
    </w:sdtPr>
    <w:sdtEndPr/>
    <w:sdtContent>
      <w:p w:rsidR="008C2C8A" w:rsidRDefault="00CB668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C2C8A" w:rsidRDefault="008C2C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684" w:rsidRDefault="00CB6684">
      <w:r>
        <w:separator/>
      </w:r>
    </w:p>
  </w:footnote>
  <w:footnote w:type="continuationSeparator" w:id="0">
    <w:p w:rsidR="00CB6684" w:rsidRDefault="00CB66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420"/>
  <w:drawingGridHorizontalSpacing w:val="10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2832"/>
    <w:rsid w:val="0008290D"/>
    <w:rsid w:val="0009093D"/>
    <w:rsid w:val="00092C4D"/>
    <w:rsid w:val="000F5A24"/>
    <w:rsid w:val="00163A90"/>
    <w:rsid w:val="00271058"/>
    <w:rsid w:val="002D2390"/>
    <w:rsid w:val="002F1154"/>
    <w:rsid w:val="003359E0"/>
    <w:rsid w:val="0041047F"/>
    <w:rsid w:val="0041172C"/>
    <w:rsid w:val="00411CC7"/>
    <w:rsid w:val="004C1378"/>
    <w:rsid w:val="00516D39"/>
    <w:rsid w:val="005341DD"/>
    <w:rsid w:val="00542A71"/>
    <w:rsid w:val="00573D16"/>
    <w:rsid w:val="00575F98"/>
    <w:rsid w:val="005A5965"/>
    <w:rsid w:val="005F1200"/>
    <w:rsid w:val="006D1A05"/>
    <w:rsid w:val="007136B9"/>
    <w:rsid w:val="00746179"/>
    <w:rsid w:val="00793CE2"/>
    <w:rsid w:val="007C7A15"/>
    <w:rsid w:val="00816DBB"/>
    <w:rsid w:val="00847A47"/>
    <w:rsid w:val="008564FB"/>
    <w:rsid w:val="008C2C8A"/>
    <w:rsid w:val="00940896"/>
    <w:rsid w:val="00944DF2"/>
    <w:rsid w:val="00A45481"/>
    <w:rsid w:val="00A54562"/>
    <w:rsid w:val="00AA774C"/>
    <w:rsid w:val="00B37390"/>
    <w:rsid w:val="00B85D90"/>
    <w:rsid w:val="00BD2832"/>
    <w:rsid w:val="00BE5737"/>
    <w:rsid w:val="00BF0C75"/>
    <w:rsid w:val="00BF79BF"/>
    <w:rsid w:val="00C1606C"/>
    <w:rsid w:val="00C17629"/>
    <w:rsid w:val="00C82AD1"/>
    <w:rsid w:val="00C8769E"/>
    <w:rsid w:val="00CB6684"/>
    <w:rsid w:val="00D17925"/>
    <w:rsid w:val="00D20D80"/>
    <w:rsid w:val="00D75528"/>
    <w:rsid w:val="00D8474E"/>
    <w:rsid w:val="00DF6589"/>
    <w:rsid w:val="00E04F41"/>
    <w:rsid w:val="00E500BE"/>
    <w:rsid w:val="00EC49B1"/>
    <w:rsid w:val="00FB3D81"/>
    <w:rsid w:val="0B56438A"/>
    <w:rsid w:val="178B2396"/>
    <w:rsid w:val="463C150E"/>
    <w:rsid w:val="6E3A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8D671BF-6799-4BB6-94A2-842C38BBF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Strong"/>
    <w:basedOn w:val="a0"/>
    <w:qFormat/>
    <w:rPr>
      <w:b/>
    </w:rPr>
  </w:style>
  <w:style w:type="character" w:customStyle="1" w:styleId="a8">
    <w:name w:val="页眉 字符"/>
    <w:basedOn w:val="a0"/>
    <w:link w:val="a7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D6622-05AB-4C7D-9490-6C916F77B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 Peng</dc:creator>
  <cp:lastModifiedBy>greycell</cp:lastModifiedBy>
  <cp:revision>28</cp:revision>
  <dcterms:created xsi:type="dcterms:W3CDTF">2025-09-29T07:33:00Z</dcterms:created>
  <dcterms:modified xsi:type="dcterms:W3CDTF">2025-10-09T09:48:00Z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eyJoZGlkIjoiOTA2YTJmYmNjODc0NDk1MGUxZWFjZGI3ZTJhMDRlOWUiLCJ1c2VySWQiOiIzODA4NDI5NjUifQ==</vt:lpwstr>
  </property>
  <property fmtid="{D5CDD505-2E9C-101B-9397-08002B2CF9AE}" pid="4" name="ICV">
    <vt:lpwstr>15AD1744CE5F400F939BB30960FEA0BC_13</vt:lpwstr>
  </property>
</Properties>
</file>