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方正小标宋简体" w:eastAsia="方正小标宋简体"/>
          <w:b/>
          <w:sz w:val="44"/>
          <w:szCs w:val="44"/>
          <w:lang w:eastAsia="zh-CN"/>
        </w:rPr>
      </w:pPr>
      <w:r>
        <w:rPr>
          <w:rFonts w:hint="eastAsia" w:ascii="方正小标宋简体" w:eastAsia="方正小标宋简体"/>
          <w:b w:val="0"/>
          <w:bCs/>
          <w:sz w:val="32"/>
          <w:szCs w:val="32"/>
        </w:rPr>
        <w:t>附件6</w:t>
      </w:r>
      <w:r>
        <w:rPr>
          <w:rFonts w:hint="eastAsia" w:ascii="方正小标宋简体" w:eastAsia="方正小标宋简体"/>
          <w:b/>
          <w:sz w:val="44"/>
          <w:szCs w:val="44"/>
        </w:rPr>
        <w:t xml:space="preserve"> </w:t>
      </w:r>
    </w:p>
    <w:p>
      <w:pPr>
        <w:jc w:val="center"/>
        <w:rPr>
          <w:rFonts w:ascii="方正小标宋简体" w:eastAsia="方正小标宋简体"/>
          <w:b/>
          <w:sz w:val="44"/>
          <w:szCs w:val="44"/>
        </w:rPr>
      </w:pPr>
      <w:r>
        <w:rPr>
          <w:rFonts w:hint="eastAsia" w:ascii="方正小标宋简体" w:eastAsia="方正小标宋简体"/>
          <w:b/>
          <w:sz w:val="44"/>
          <w:szCs w:val="44"/>
        </w:rPr>
        <w:t>贵州大学大学生创新创业教育综合服务</w:t>
      </w:r>
    </w:p>
    <w:p>
      <w:pPr>
        <w:jc w:val="center"/>
        <w:rPr>
          <w:rFonts w:ascii="方正小标宋简体" w:eastAsia="方正小标宋简体"/>
          <w:b/>
          <w:sz w:val="44"/>
          <w:szCs w:val="44"/>
        </w:rPr>
      </w:pPr>
      <w:r>
        <w:rPr>
          <w:rFonts w:hint="eastAsia" w:ascii="方正小标宋简体" w:eastAsia="方正小标宋简体"/>
          <w:b/>
          <w:sz w:val="44"/>
          <w:szCs w:val="44"/>
        </w:rPr>
        <w:t>平台使用说明书-教师</w:t>
      </w:r>
    </w:p>
    <w:p>
      <w:pPr>
        <w:jc w:val="center"/>
        <w:rPr>
          <w:rFonts w:ascii="隶书" w:eastAsia="隶书"/>
          <w:sz w:val="52"/>
          <w:szCs w:val="52"/>
        </w:rPr>
      </w:pPr>
    </w:p>
    <w:p>
      <w:r>
        <w:rPr>
          <w:rFonts w:hint="eastAsia"/>
        </w:rPr>
        <w:t>大创网址登录网址：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"http://121.229.45.226:81/GZU_CX" </w:instrText>
      </w:r>
      <w:r>
        <w:rPr>
          <w:rFonts w:hint="eastAsia"/>
        </w:rPr>
        <w:fldChar w:fldCharType="separate"/>
      </w:r>
      <w:r>
        <w:rPr>
          <w:rStyle w:val="15"/>
          <w:rFonts w:hint="eastAsia"/>
        </w:rPr>
        <w:t>http://121.229.45.226:81/GZU_CX</w:t>
      </w:r>
      <w:r>
        <w:rPr>
          <w:rFonts w:hint="eastAsia"/>
        </w:rPr>
        <w:fldChar w:fldCharType="end"/>
      </w:r>
    </w:p>
    <w:p/>
    <w:p>
      <w:pPr>
        <w:rPr>
          <w:rFonts w:hint="default" w:eastAsia="宋体"/>
          <w:lang w:val="en-US" w:eastAsia="zh-CN"/>
        </w:rPr>
      </w:pPr>
      <w:r>
        <w:rPr>
          <w:rFonts w:hint="eastAsia"/>
        </w:rPr>
        <w:t>账号：</w:t>
      </w:r>
      <w:r>
        <w:rPr>
          <w:rFonts w:hint="eastAsia"/>
          <w:lang w:val="en-US" w:eastAsia="zh-CN"/>
        </w:rPr>
        <w:t>校内人员为教职工号，校外人员为手机号</w:t>
      </w:r>
    </w:p>
    <w:p/>
    <w:p>
      <w:r>
        <w:rPr>
          <w:rFonts w:hint="eastAsia"/>
        </w:rPr>
        <w:t>密码：GZU登录账号@Cxcy</w:t>
      </w:r>
    </w:p>
    <w:p>
      <w:pPr>
        <w:rPr>
          <w:bCs/>
          <w:szCs w:val="22"/>
          <w:lang w:val="zh-CN"/>
        </w:rPr>
      </w:pPr>
      <w:bookmarkStart w:id="0" w:name="_Toc22336"/>
      <w:bookmarkStart w:id="1" w:name="二、项目审核部分"/>
      <w:bookmarkStart w:id="2" w:name="一、项目申报部分"/>
      <w:bookmarkStart w:id="32" w:name="_GoBack"/>
      <w:bookmarkEnd w:id="32"/>
    </w:p>
    <w:p>
      <w:pPr>
        <w:widowControl/>
        <w:jc w:val="left"/>
        <w:rPr>
          <w:rFonts w:ascii="等线" w:hAnsi="等线"/>
          <w:b/>
          <w:kern w:val="52"/>
          <w:sz w:val="30"/>
          <w:szCs w:val="32"/>
        </w:rPr>
      </w:pPr>
      <w:r>
        <w:br w:type="page"/>
      </w:r>
    </w:p>
    <w:p>
      <w:pPr>
        <w:pStyle w:val="2"/>
      </w:pPr>
      <w:r>
        <w:rPr>
          <w:rFonts w:hint="eastAsia"/>
        </w:rPr>
        <w:t>一、立项审核</w:t>
      </w:r>
      <w:bookmarkEnd w:id="0"/>
    </w:p>
    <w:bookmarkEnd w:id="1"/>
    <w:bookmarkEnd w:id="2"/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指导教师登录系统后，点击立项管理</w:t>
      </w:r>
      <w:r>
        <w:rPr>
          <w:sz w:val="28"/>
          <w:szCs w:val="28"/>
        </w:rPr>
        <w:t>—</w:t>
      </w:r>
      <w:r>
        <w:rPr>
          <w:rFonts w:hint="eastAsia"/>
          <w:sz w:val="28"/>
          <w:szCs w:val="28"/>
        </w:rPr>
        <w:t>指导教师审核项目菜单后，在页面上教师可查看待审核的项目，点击页面上数据列表“操作”字段中</w:t>
      </w:r>
      <w:r>
        <w:drawing>
          <wp:inline distT="0" distB="0" distL="0" distR="0">
            <wp:extent cx="276225" cy="193675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6"/>
                    <a:srcRect t="24664" b="-1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19374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按钮进入审核页面。如下图所示：</w:t>
      </w:r>
    </w:p>
    <w:p>
      <w:pPr>
        <w:jc w:val="center"/>
      </w:pPr>
      <w:r>
        <w:drawing>
          <wp:inline distT="0" distB="0" distL="0" distR="0">
            <wp:extent cx="6120130" cy="2305050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指导教师点击审核进入审核页面后，选择审核状态（并填写审核意见）后点击提交即指导教师审核项目完成，如下图所示：</w:t>
      </w:r>
    </w:p>
    <w:p>
      <w:pPr>
        <w:jc w:val="center"/>
        <w:rPr>
          <w:sz w:val="28"/>
          <w:szCs w:val="28"/>
        </w:rPr>
      </w:pPr>
      <w:r>
        <w:drawing>
          <wp:inline distT="0" distB="0" distL="0" distR="0">
            <wp:extent cx="6120130" cy="3877310"/>
            <wp:effectExtent l="0" t="0" r="0" b="889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7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（1）指导教师审核项目，审核通过，可联系或提醒学院管理员进行审核；</w:t>
      </w:r>
    </w:p>
    <w:p>
      <w:pPr>
        <w:ind w:firstLine="560" w:firstLineChars="200"/>
        <w:rPr>
          <w:b/>
          <w:sz w:val="32"/>
          <w:szCs w:val="32"/>
          <w:shd w:val="pct10" w:color="auto" w:fill="FFFFFF"/>
        </w:rPr>
      </w:pPr>
      <w:r>
        <w:rPr>
          <w:rFonts w:hint="eastAsia"/>
          <w:sz w:val="28"/>
          <w:szCs w:val="28"/>
        </w:rPr>
        <w:t>（2）指导教师审核项目，退回修改，该项目退回至项目负责人，您可联系或者提醒项目负责人进行修改，项目成员不可修改项目申报书；</w:t>
      </w:r>
    </w:p>
    <w:p>
      <w:pPr>
        <w:ind w:firstLine="560" w:firstLineChars="200"/>
        <w:rPr>
          <w:b/>
          <w:sz w:val="32"/>
          <w:szCs w:val="32"/>
          <w:shd w:val="pct10" w:color="auto" w:fill="FFFFFF"/>
        </w:rPr>
      </w:pPr>
      <w:r>
        <w:rPr>
          <w:rFonts w:hint="eastAsia"/>
          <w:sz w:val="28"/>
          <w:szCs w:val="28"/>
        </w:rPr>
        <w:t>（</w:t>
      </w:r>
      <w:r>
        <w:rPr>
          <w:sz w:val="28"/>
          <w:szCs w:val="28"/>
        </w:rPr>
        <w:t>3</w:t>
      </w:r>
      <w:r>
        <w:rPr>
          <w:rFonts w:hint="eastAsia"/>
          <w:sz w:val="28"/>
          <w:szCs w:val="28"/>
        </w:rPr>
        <w:t>）指导教师审核项目，终止申报，该项目终止，项目负责人无法继续申报该项目。</w:t>
      </w:r>
    </w:p>
    <w:p>
      <w:pPr>
        <w:pStyle w:val="2"/>
      </w:pPr>
      <w:bookmarkStart w:id="3" w:name="三、中期检查审核部分"/>
      <w:bookmarkStart w:id="4" w:name="_Toc24391"/>
      <w:r>
        <w:rPr>
          <w:rFonts w:hint="eastAsia"/>
        </w:rPr>
        <w:t>二、中期管理</w:t>
      </w:r>
      <w:bookmarkEnd w:id="3"/>
      <w:bookmarkEnd w:id="4"/>
    </w:p>
    <w:p>
      <w:pPr>
        <w:pStyle w:val="4"/>
        <w:numPr>
          <w:ilvl w:val="0"/>
          <w:numId w:val="0"/>
        </w:numPr>
      </w:pPr>
      <w:bookmarkStart w:id="5" w:name="_Toc8365"/>
      <w:r>
        <w:rPr>
          <w:rFonts w:hint="eastAsia"/>
        </w:rPr>
        <w:t>审核中期检查</w:t>
      </w:r>
      <w:bookmarkEnd w:id="5"/>
    </w:p>
    <w:p>
      <w:pPr>
        <w:rPr>
          <w:sz w:val="28"/>
          <w:szCs w:val="28"/>
        </w:rPr>
      </w:pPr>
      <w:r>
        <w:rPr>
          <w:sz w:val="28"/>
          <w:szCs w:val="28"/>
        </w:rPr>
        <w:t>1</w:t>
      </w:r>
      <w:r>
        <w:rPr>
          <w:rFonts w:hint="eastAsia"/>
          <w:sz w:val="28"/>
          <w:szCs w:val="28"/>
        </w:rPr>
        <w:t>、学生提交中期检查后，指导教师登录系统点击中期管理---中期检查管理---指导教师审核菜单，页面上可查看项目信息及中期检查的状态，点击数据列表“操作”字段中</w:t>
      </w:r>
      <w:r>
        <w:drawing>
          <wp:inline distT="0" distB="0" distL="0" distR="0">
            <wp:extent cx="276225" cy="257175"/>
            <wp:effectExtent l="0" t="0" r="9525" b="952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按钮进入审核页面，如下图所示：</w:t>
      </w:r>
    </w:p>
    <w:p>
      <w:pPr>
        <w:jc w:val="center"/>
      </w:pPr>
      <w:r>
        <w:drawing>
          <wp:inline distT="0" distB="0" distL="0" distR="0">
            <wp:extent cx="6120130" cy="2331720"/>
            <wp:effectExtent l="0" t="0" r="0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33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2、中期检查审核页面可查看该项目中期检查详细信息，逐项填写并提交即指导教师审核中期检查完成，如下图所示：</w:t>
      </w:r>
    </w:p>
    <w:p>
      <w:pPr>
        <w:jc w:val="center"/>
        <w:rPr>
          <w:sz w:val="28"/>
          <w:szCs w:val="28"/>
        </w:rPr>
      </w:pPr>
      <w:r>
        <w:drawing>
          <wp:inline distT="0" distB="0" distL="0" distR="0">
            <wp:extent cx="6120130" cy="3672205"/>
            <wp:effectExtent l="0" t="0" r="0" b="4445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7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ind w:left="105" w:leftChars="50"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（1）指导教师审核中期检查，审核通过，您可以联系或者提醒院系管理员进行审核；</w:t>
      </w:r>
    </w:p>
    <w:p>
      <w:pPr>
        <w:ind w:left="105" w:leftChars="50"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（2）指导教师审核中期检查，审核退回，项目中期检查退回至项目主持人，您可以联系或者提醒项目负责人进行修改。</w:t>
      </w:r>
    </w:p>
    <w:p>
      <w:pPr>
        <w:pStyle w:val="2"/>
      </w:pPr>
      <w:bookmarkStart w:id="6" w:name="_Toc16379"/>
      <w:r>
        <w:rPr>
          <w:rFonts w:hint="eastAsia"/>
        </w:rPr>
        <w:t>三、结题管理</w:t>
      </w:r>
      <w:bookmarkEnd w:id="6"/>
    </w:p>
    <w:p>
      <w:pPr>
        <w:pStyle w:val="4"/>
        <w:numPr>
          <w:ilvl w:val="0"/>
          <w:numId w:val="0"/>
        </w:numPr>
      </w:pPr>
      <w:bookmarkStart w:id="7" w:name="_Toc10181"/>
      <w:r>
        <w:rPr>
          <w:rFonts w:hint="eastAsia"/>
        </w:rPr>
        <w:t>审核结题报告</w:t>
      </w:r>
      <w:bookmarkEnd w:id="7"/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1、指导教师点击结题管理---指导教师审核菜单，可查看自己所指导项目的结题报告信息，页面中点击项目名称可查看项目详细信息，点击数据列表“操作”字段中</w:t>
      </w:r>
      <w:r>
        <w:drawing>
          <wp:inline distT="0" distB="0" distL="0" distR="0">
            <wp:extent cx="276225" cy="257175"/>
            <wp:effectExtent l="0" t="0" r="9525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按钮进入审核页面</w:t>
      </w:r>
      <w:r>
        <w:rPr>
          <w:rFonts w:hint="eastAsia"/>
        </w:rPr>
        <w:t>，</w:t>
      </w:r>
      <w:r>
        <w:rPr>
          <w:rFonts w:hint="eastAsia"/>
          <w:sz w:val="28"/>
          <w:szCs w:val="28"/>
        </w:rPr>
        <w:t>如下图所示：</w:t>
      </w:r>
    </w:p>
    <w:p>
      <w:pPr>
        <w:jc w:val="center"/>
        <w:rPr>
          <w:sz w:val="28"/>
          <w:szCs w:val="28"/>
        </w:rPr>
      </w:pPr>
      <w:r>
        <w:drawing>
          <wp:inline distT="0" distB="0" distL="0" distR="0">
            <wp:extent cx="6120130" cy="233172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33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2、结题审核页面可查看该项目结题报告详细信息，逐项填写并提交即指导教师审核结题报告完成，如下图所示：</w:t>
      </w:r>
    </w:p>
    <w:p>
      <w:pPr>
        <w:jc w:val="center"/>
      </w:pPr>
      <w:r>
        <w:drawing>
          <wp:inline distT="0" distB="0" distL="0" distR="0">
            <wp:extent cx="5624830" cy="336042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27984" cy="3362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8" w:name="_Toc3767"/>
      <w:r>
        <w:rPr>
          <w:rFonts w:hint="eastAsia"/>
        </w:rPr>
        <w:t>四、 项目成果管理</w:t>
      </w:r>
      <w:bookmarkEnd w:id="8"/>
    </w:p>
    <w:p>
      <w:pPr>
        <w:pStyle w:val="4"/>
        <w:numPr>
          <w:ilvl w:val="0"/>
          <w:numId w:val="0"/>
        </w:numPr>
      </w:pPr>
      <w:bookmarkStart w:id="9" w:name="_Toc28831"/>
      <w:r>
        <w:rPr>
          <w:rFonts w:hint="eastAsia"/>
        </w:rPr>
        <w:t>教师审核项目成果</w:t>
      </w:r>
      <w:bookmarkEnd w:id="9"/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教师点击项目成果管理---教师审核项目成果菜单，页面上点击</w:t>
      </w:r>
      <w:r>
        <w:drawing>
          <wp:inline distT="0" distB="0" distL="0" distR="0">
            <wp:extent cx="190500" cy="18097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进入审核页面，可批量审核项目，如下图所示：</w:t>
      </w:r>
    </w:p>
    <w:p>
      <w:r>
        <w:drawing>
          <wp:inline distT="0" distB="0" distL="114300" distR="114300">
            <wp:extent cx="6111875" cy="3018155"/>
            <wp:effectExtent l="0" t="0" r="3175" b="1079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10" w:name="_Toc29087"/>
      <w:r>
        <w:rPr>
          <w:rFonts w:hint="eastAsia"/>
        </w:rPr>
        <w:t>五、项目异动管理</w:t>
      </w:r>
      <w:bookmarkEnd w:id="10"/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项目异动管理，分为指导教师审核项目变更、延期、终止申请。</w:t>
      </w:r>
    </w:p>
    <w:p>
      <w:pPr>
        <w:pStyle w:val="4"/>
        <w:numPr>
          <w:ilvl w:val="0"/>
          <w:numId w:val="0"/>
        </w:numPr>
      </w:pPr>
      <w:bookmarkStart w:id="11" w:name="_Toc31148"/>
      <w:bookmarkStart w:id="12" w:name="_Toc58432275"/>
      <w:r>
        <w:rPr>
          <w:rFonts w:hint="eastAsia"/>
        </w:rPr>
        <w:t>（一）指导教师审核项目变更</w:t>
      </w:r>
      <w:bookmarkEnd w:id="11"/>
      <w:bookmarkEnd w:id="12"/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指导教师可以查看并审核所有自己所指导的项目的变更申请，点击项目列表操作字段下的“审核”按钮，进入审核页面，提交审核结论（分“审核通过”、“退回修改”）。支持批量审核。如下图：</w:t>
      </w:r>
    </w:p>
    <w:p>
      <w:pPr>
        <w:jc w:val="center"/>
        <w:rPr>
          <w:rFonts w:eastAsia="等线"/>
        </w:rPr>
      </w:pPr>
      <w:r>
        <w:rPr>
          <w:rFonts w:eastAsia="等线"/>
        </w:rPr>
        <w:drawing>
          <wp:inline distT="0" distB="0" distL="0" distR="0">
            <wp:extent cx="5905500" cy="2173605"/>
            <wp:effectExtent l="0" t="0" r="0" b="0"/>
            <wp:docPr id="10" name="图片 10" descr="C:\Users\JSFW-ZWQ\AppData\Local\Temp\160998562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JSFW-ZWQ\AppData\Local\Temp\1609985621(1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2174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等线"/>
        </w:rPr>
        <w:t xml:space="preserve"> </w:t>
      </w:r>
    </w:p>
    <w:p>
      <w:pPr>
        <w:pStyle w:val="4"/>
        <w:numPr>
          <w:ilvl w:val="0"/>
          <w:numId w:val="0"/>
        </w:numPr>
      </w:pPr>
      <w:bookmarkStart w:id="13" w:name="_Toc715"/>
      <w:bookmarkStart w:id="14" w:name="_Toc58432276"/>
      <w:r>
        <w:rPr>
          <w:rFonts w:hint="eastAsia"/>
        </w:rPr>
        <w:t>（二）指导教师审核项目延期</w:t>
      </w:r>
      <w:bookmarkEnd w:id="13"/>
      <w:bookmarkEnd w:id="14"/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指导教师可以查看并审核自己所指导的所有项目的延期申请，点击项目列表操作字段下的“审核”按钮，进入审核页面，提交审核结论（分“审核通过”、“退回修改”）。支持批量审核。如下图：</w:t>
      </w:r>
    </w:p>
    <w:p>
      <w:pPr>
        <w:jc w:val="center"/>
        <w:rPr>
          <w:rFonts w:eastAsia="等线"/>
        </w:rPr>
      </w:pPr>
      <w:r>
        <w:rPr>
          <w:rFonts w:eastAsia="等线"/>
        </w:rPr>
        <w:drawing>
          <wp:inline distT="0" distB="0" distL="0" distR="0">
            <wp:extent cx="6000750" cy="2194560"/>
            <wp:effectExtent l="0" t="0" r="0" b="0"/>
            <wp:docPr id="11" name="图片 11" descr="C:\Users\JSFW-ZWQ\AppData\Local\Temp\160998572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JSFW-ZWQ\AppData\Local\Temp\1609985726(1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2194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等线"/>
        </w:rPr>
        <w:t xml:space="preserve"> </w:t>
      </w:r>
    </w:p>
    <w:p>
      <w:pPr>
        <w:pStyle w:val="4"/>
        <w:numPr>
          <w:ilvl w:val="0"/>
          <w:numId w:val="0"/>
        </w:numPr>
      </w:pPr>
      <w:bookmarkStart w:id="15" w:name="_Toc31817"/>
      <w:bookmarkStart w:id="16" w:name="_Toc58432277"/>
      <w:r>
        <w:rPr>
          <w:rFonts w:hint="eastAsia"/>
        </w:rPr>
        <w:t>（三）指导教师审核项目终止</w:t>
      </w:r>
      <w:bookmarkEnd w:id="15"/>
      <w:bookmarkEnd w:id="16"/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指导教师可以查看并审核自己所指导的所有项目的终止申请，点击项目列表操作字段下的“审核”按钮，进入审核页面，提交审核结论（分“审核通过”、“退回修改”）。支持批量审核。如下图：</w:t>
      </w:r>
    </w:p>
    <w:p>
      <w:pPr>
        <w:jc w:val="center"/>
        <w:rPr>
          <w:rFonts w:eastAsia="等线"/>
        </w:rPr>
      </w:pPr>
      <w:r>
        <w:rPr>
          <w:rFonts w:eastAsia="等线"/>
        </w:rPr>
        <w:drawing>
          <wp:inline distT="0" distB="0" distL="0" distR="0">
            <wp:extent cx="6325235" cy="2257425"/>
            <wp:effectExtent l="0" t="0" r="0" b="0"/>
            <wp:docPr id="12" name="图片 12" descr="C:\Users\JSFW-ZWQ\AppData\Local\Temp\160998581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JSFW-ZWQ\AppData\Local\Temp\1609985819(1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40708" cy="2262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17" w:name="_Toc10026"/>
      <w:bookmarkStart w:id="18" w:name="_Hlk47525333"/>
      <w:r>
        <w:rPr>
          <w:rFonts w:hint="eastAsia"/>
        </w:rPr>
        <w:t>六、数据汇总</w:t>
      </w:r>
      <w:bookmarkEnd w:id="17"/>
    </w:p>
    <w:p>
      <w:pPr>
        <w:pStyle w:val="4"/>
        <w:numPr>
          <w:ilvl w:val="0"/>
          <w:numId w:val="0"/>
        </w:numPr>
      </w:pPr>
      <w:bookmarkStart w:id="19" w:name="_Toc7850"/>
      <w:r>
        <w:rPr>
          <w:rFonts w:hint="eastAsia"/>
        </w:rPr>
        <w:t>（一）立项信息汇总</w:t>
      </w:r>
      <w:bookmarkEnd w:id="19"/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指导教师点击数据汇总---立项信息汇总菜单，可查看自己所指导项目的立项信息，页面中点击项目名称可查看项目详细信息</w:t>
      </w:r>
      <w:r>
        <w:rPr>
          <w:rFonts w:hint="eastAsia"/>
        </w:rPr>
        <w:t>，</w:t>
      </w:r>
      <w:r>
        <w:rPr>
          <w:rFonts w:hint="eastAsia"/>
          <w:sz w:val="28"/>
          <w:szCs w:val="28"/>
        </w:rPr>
        <w:t>如下图所示：</w:t>
      </w:r>
    </w:p>
    <w:p>
      <w:pPr>
        <w:rPr>
          <w:sz w:val="28"/>
          <w:szCs w:val="28"/>
        </w:rPr>
      </w:pPr>
      <w:r>
        <w:drawing>
          <wp:inline distT="0" distB="0" distL="0" distR="0">
            <wp:extent cx="5535295" cy="2737485"/>
            <wp:effectExtent l="0" t="0" r="8255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40421" cy="274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</w:pPr>
      <w:bookmarkStart w:id="20" w:name="_Toc21811"/>
      <w:r>
        <w:rPr>
          <w:rFonts w:hint="eastAsia"/>
        </w:rPr>
        <w:t>（二）中期检查汇总</w:t>
      </w:r>
      <w:bookmarkEnd w:id="20"/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指导教师点击数据汇总---中期检查汇总菜单，可查看自己所指导项目的中期检查信息，页面中点击项目名称可查看项目详细信息，点击</w:t>
      </w:r>
      <w:r>
        <w:drawing>
          <wp:inline distT="0" distB="0" distL="0" distR="0">
            <wp:extent cx="447675" cy="209550"/>
            <wp:effectExtent l="0" t="0" r="9525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按钮可导出中期检查，如下图所示：</w:t>
      </w:r>
    </w:p>
    <w:p>
      <w:pPr>
        <w:rPr>
          <w:sz w:val="28"/>
          <w:szCs w:val="28"/>
        </w:rPr>
      </w:pPr>
      <w:r>
        <w:drawing>
          <wp:inline distT="0" distB="0" distL="0" distR="0">
            <wp:extent cx="6120130" cy="28956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</w:pPr>
      <w:bookmarkStart w:id="21" w:name="_Toc2605"/>
      <w:r>
        <w:rPr>
          <w:rFonts w:hint="eastAsia"/>
        </w:rPr>
        <w:t>（三）结题报告汇总</w:t>
      </w:r>
      <w:bookmarkEnd w:id="21"/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指导教师点击数据汇总---结题报告汇总菜单，可查看自己所指导项目的结题报告信息，页面中点击项目名称可查看项目详细信息，点击</w:t>
      </w:r>
      <w:r>
        <w:drawing>
          <wp:inline distT="0" distB="0" distL="0" distR="0">
            <wp:extent cx="447675" cy="209550"/>
            <wp:effectExtent l="0" t="0" r="9525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按钮可导出结题报告，如下图所示：</w:t>
      </w:r>
    </w:p>
    <w:p>
      <w:r>
        <w:drawing>
          <wp:inline distT="0" distB="0" distL="0" distR="0">
            <wp:extent cx="6180455" cy="243840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90973" cy="2442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8"/>
    </w:p>
    <w:p>
      <w:pPr>
        <w:pStyle w:val="4"/>
        <w:numPr>
          <w:ilvl w:val="1"/>
          <w:numId w:val="0"/>
        </w:numPr>
        <w:tabs>
          <w:tab w:val="clear" w:pos="425"/>
        </w:tabs>
      </w:pPr>
      <w:bookmarkStart w:id="22" w:name="_Toc4713"/>
      <w:r>
        <w:rPr>
          <w:rFonts w:hint="eastAsia"/>
        </w:rPr>
        <w:t>（四）项目成果汇总</w:t>
      </w:r>
      <w:bookmarkEnd w:id="22"/>
    </w:p>
    <w:p>
      <w:pPr>
        <w:ind w:firstLine="560" w:firstLineChars="200"/>
      </w:pPr>
      <w:r>
        <w:rPr>
          <w:rFonts w:hint="eastAsia"/>
          <w:sz w:val="28"/>
          <w:szCs w:val="28"/>
        </w:rPr>
        <w:t>即教师查看所指导项目的项目成果情况，点击项目名称可查看项目详细信息，点击操作列—查看按钮，可查看项目成果的详细信息。如下图：</w:t>
      </w:r>
    </w:p>
    <w:p>
      <w:pPr>
        <w:jc w:val="center"/>
        <w:rPr>
          <w:sz w:val="28"/>
          <w:szCs w:val="28"/>
        </w:rPr>
      </w:pPr>
      <w:r>
        <w:drawing>
          <wp:inline distT="0" distB="0" distL="114300" distR="114300">
            <wp:extent cx="6115050" cy="3162935"/>
            <wp:effectExtent l="0" t="0" r="0" b="1841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316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23" w:name="_Toc47534802"/>
      <w:bookmarkStart w:id="24" w:name="_Toc12648"/>
      <w:bookmarkStart w:id="25" w:name="六、其他"/>
      <w:r>
        <w:rPr>
          <w:rFonts w:hint="eastAsia"/>
        </w:rPr>
        <w:t>七、个人中心</w:t>
      </w:r>
      <w:bookmarkEnd w:id="23"/>
      <w:bookmarkEnd w:id="24"/>
    </w:p>
    <w:p>
      <w:pPr>
        <w:pStyle w:val="4"/>
        <w:numPr>
          <w:ilvl w:val="0"/>
          <w:numId w:val="0"/>
        </w:numPr>
      </w:pPr>
      <w:bookmarkStart w:id="26" w:name="_Toc47534803"/>
      <w:bookmarkStart w:id="27" w:name="_Toc26050"/>
      <w:r>
        <w:rPr>
          <w:rFonts w:hint="eastAsia"/>
        </w:rPr>
        <w:t>（一）通用</w:t>
      </w:r>
      <w:bookmarkEnd w:id="26"/>
      <w:bookmarkEnd w:id="27"/>
    </w:p>
    <w:p>
      <w:pPr>
        <w:ind w:firstLine="560" w:firstLineChars="20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指导教师可查看个人信息、登录日志和操作日志，可修改密码和头像，可设置菜单侧边栏模式，可查看系统通知和帮助，如下图所示：</w:t>
      </w:r>
      <w:r>
        <w:drawing>
          <wp:inline distT="0" distB="0" distL="0" distR="0">
            <wp:extent cx="6118225" cy="2780030"/>
            <wp:effectExtent l="0" t="0" r="0" b="127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rcRect b="1907"/>
                    <a:stretch>
                      <a:fillRect/>
                    </a:stretch>
                  </pic:blipFill>
                  <pic:spPr>
                    <a:xfrm>
                      <a:off x="0" y="0"/>
                      <a:ext cx="6132925" cy="278680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</w:pPr>
      <w:bookmarkStart w:id="28" w:name="_Toc11106"/>
      <w:bookmarkStart w:id="29" w:name="_Toc47534804"/>
      <w:r>
        <w:rPr>
          <w:rFonts w:hint="eastAsia"/>
        </w:rPr>
        <w:t>（二）站内信</w:t>
      </w:r>
      <w:bookmarkEnd w:id="28"/>
      <w:bookmarkEnd w:id="29"/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1、收件箱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指导教师可接收任何角色发送过来的信件并对其查看、回复、删除，如下图所示：</w:t>
      </w:r>
    </w:p>
    <w:p>
      <w:pPr>
        <w:jc w:val="center"/>
        <w:rPr>
          <w:rFonts w:ascii="宋体" w:hAnsi="宋体"/>
          <w:szCs w:val="21"/>
        </w:rPr>
      </w:pPr>
      <w:r>
        <w:drawing>
          <wp:inline distT="0" distB="0" distL="0" distR="0">
            <wp:extent cx="5826760" cy="1571625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828766" cy="1572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、已发送</w:t>
      </w:r>
    </w:p>
    <w:p>
      <w:pPr>
        <w:ind w:firstLine="560" w:firstLineChars="20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t>指导教师可查看或者删除自己发送的信件，如下图所示：</w:t>
      </w:r>
    </w:p>
    <w:p>
      <w:pPr>
        <w:pStyle w:val="3"/>
        <w:ind w:firstLine="0" w:firstLineChars="0"/>
        <w:jc w:val="center"/>
      </w:pPr>
      <w:r>
        <w:drawing>
          <wp:inline distT="0" distB="0" distL="0" distR="0">
            <wp:extent cx="5838825" cy="1802130"/>
            <wp:effectExtent l="0" t="0" r="0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871718" cy="1812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sz w:val="28"/>
          <w:szCs w:val="28"/>
        </w:rPr>
        <w:t>3</w:t>
      </w:r>
      <w:r>
        <w:rPr>
          <w:rFonts w:hint="eastAsia"/>
          <w:sz w:val="28"/>
          <w:szCs w:val="28"/>
        </w:rPr>
        <w:t>、草稿箱</w:t>
      </w:r>
    </w:p>
    <w:p>
      <w:pPr>
        <w:ind w:firstLine="560" w:firstLineChars="20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t>未发送的信件保存为草稿，指导教师可以查看修改信件并发送，或者删除草稿，如下图所示：</w:t>
      </w:r>
    </w:p>
    <w:p>
      <w:pPr>
        <w:pStyle w:val="3"/>
        <w:ind w:firstLine="0" w:firstLineChars="0"/>
        <w:jc w:val="center"/>
      </w:pPr>
      <w:r>
        <w:drawing>
          <wp:inline distT="0" distB="0" distL="0" distR="0">
            <wp:extent cx="6120130" cy="171450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sz w:val="28"/>
          <w:szCs w:val="28"/>
        </w:rPr>
        <w:t>4</w:t>
      </w:r>
      <w:r>
        <w:rPr>
          <w:rFonts w:hint="eastAsia"/>
          <w:sz w:val="28"/>
          <w:szCs w:val="28"/>
        </w:rPr>
        <w:t>、回收站</w:t>
      </w:r>
    </w:p>
    <w:p>
      <w:pPr>
        <w:ind w:firstLine="560" w:firstLineChars="20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t>删除的信件保存在回收站，指导教师可以查看信件详情，选择恢复或者删除彻底删除信件，如下图所示：</w:t>
      </w:r>
    </w:p>
    <w:p>
      <w:pPr>
        <w:pStyle w:val="3"/>
        <w:ind w:firstLine="0" w:firstLineChars="0"/>
      </w:pPr>
      <w:r>
        <w:drawing>
          <wp:inline distT="0" distB="0" distL="0" distR="0">
            <wp:extent cx="6120130" cy="1743075"/>
            <wp:effectExtent l="0" t="0" r="0" b="952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</w:pPr>
      <w:bookmarkStart w:id="30" w:name="_Toc11879"/>
      <w:bookmarkStart w:id="31" w:name="_Toc47534805"/>
      <w:r>
        <w:rPr>
          <w:rFonts w:hint="eastAsia"/>
        </w:rPr>
        <w:t>（三）文件中心</w:t>
      </w:r>
      <w:bookmarkEnd w:id="30"/>
      <w:bookmarkEnd w:id="31"/>
    </w:p>
    <w:p>
      <w:pPr>
        <w:ind w:firstLine="560" w:firstLineChars="20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t>指导教师可以查看或者删除上传的附件、编辑框中上传的图片视频以及项目申报书、结题报告等文件，如下图所示：</w:t>
      </w:r>
    </w:p>
    <w:bookmarkEnd w:id="25"/>
    <w:p>
      <w:pPr>
        <w:jc w:val="center"/>
      </w:pPr>
      <w:r>
        <w:drawing>
          <wp:inline distT="0" distB="0" distL="0" distR="0">
            <wp:extent cx="6120130" cy="2550795"/>
            <wp:effectExtent l="0" t="0" r="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55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spacing w:before="240"/>
      </w:pPr>
      <w:r>
        <w:rPr>
          <w:rFonts w:hint="eastAsia"/>
        </w:rPr>
        <w:t>（四）学院专家审核界面：</w:t>
      </w:r>
    </w:p>
    <w:p>
      <w:pPr>
        <w:jc w:val="center"/>
      </w:pPr>
      <w:r>
        <w:drawing>
          <wp:inline distT="0" distB="0" distL="114300" distR="114300">
            <wp:extent cx="6119495" cy="1888490"/>
            <wp:effectExtent l="0" t="0" r="14605" b="16510"/>
            <wp:docPr id="2" name="图片 2" descr="1685330865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8533086538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188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ind w:firstLine="560" w:firstLineChars="20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在学院专家审核界面，有立项管理、中期管理、结题管理，学院专家可根据项目分配的情况依此去各项管理里面进行审核。</w:t>
      </w:r>
    </w:p>
    <w:sectPr>
      <w:footerReference r:id="rId3" w:type="default"/>
      <w:footerReference r:id="rId4" w:type="even"/>
      <w:pgSz w:w="11906" w:h="16838"/>
      <w:pgMar w:top="1440" w:right="1134" w:bottom="1440" w:left="1134" w:header="851" w:footer="992" w:gutter="0"/>
      <w:pgNumType w:start="0"/>
      <w:cols w:space="720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99120D6A-C0AC-4845-A23F-5F04EE5A2DAA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2" w:fontKey="{23D696E5-9830-43B2-AAC1-4CA31866C128}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PMingLiU">
    <w:altName w:val="PMingLiU-ExtB"/>
    <w:panose1 w:val="02020500000000000000"/>
    <w:charset w:val="88"/>
    <w:family w:val="roman"/>
    <w:pitch w:val="default"/>
    <w:sig w:usb0="00000000" w:usb1="00000000" w:usb2="00000016" w:usb3="00000000" w:csb0="00100001" w:csb1="00000000"/>
  </w:font>
  <w:font w:name="方正小标宋简体">
    <w:panose1 w:val="02000000000000000000"/>
    <w:charset w:val="86"/>
    <w:family w:val="script"/>
    <w:pitch w:val="default"/>
    <w:sig w:usb0="00000001" w:usb1="080E0000" w:usb2="00000000" w:usb3="00000000" w:csb0="00040000" w:csb1="00000000"/>
    <w:embedRegular r:id="rId3" w:fontKey="{C31F8566-B026-491F-A95E-C3B72035BD4A}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  <w:embedRegular r:id="rId4" w:fontKey="{76DBA23F-8C23-4FFD-91CC-55DF7E40F58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framePr w:wrap="around" w:vAnchor="text" w:hAnchor="margin" w:xAlign="center" w:y="1"/>
      <w:rPr>
        <w:rStyle w:val="13"/>
      </w:rPr>
    </w:pPr>
    <w:r>
      <w:fldChar w:fldCharType="begin"/>
    </w:r>
    <w:r>
      <w:rPr>
        <w:rStyle w:val="13"/>
      </w:rPr>
      <w:instrText xml:space="preserve">PAGE  </w:instrText>
    </w:r>
    <w:r>
      <w:fldChar w:fldCharType="separate"/>
    </w:r>
    <w:r>
      <w:rPr>
        <w:rStyle w:val="13"/>
      </w:rPr>
      <w:t>14</w:t>
    </w:r>
    <w:r>
      <w:fldChar w:fldCharType="end"/>
    </w:r>
  </w:p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framePr w:wrap="around" w:vAnchor="text" w:hAnchor="margin" w:xAlign="center" w:y="1"/>
      <w:rPr>
        <w:rStyle w:val="13"/>
      </w:rPr>
    </w:pPr>
    <w:r>
      <w:fldChar w:fldCharType="begin"/>
    </w:r>
    <w:r>
      <w:rPr>
        <w:rStyle w:val="13"/>
      </w:rPr>
      <w:instrText xml:space="preserve">PAGE  </w:instrText>
    </w:r>
    <w:r>
      <w:fldChar w:fldCharType="end"/>
    </w:r>
  </w:p>
  <w:p>
    <w:pPr>
      <w:pStyle w:val="7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EB17772"/>
    <w:multiLevelType w:val="multilevel"/>
    <w:tmpl w:val="5EB17772"/>
    <w:lvl w:ilvl="0" w:tentative="0">
      <w:start w:val="1"/>
      <w:numFmt w:val="decimal"/>
      <w:pStyle w:val="22"/>
      <w:lvlText w:val="%1."/>
      <w:lvlJc w:val="left"/>
      <w:pPr>
        <w:tabs>
          <w:tab w:val="left" w:pos="425"/>
        </w:tabs>
        <w:ind w:left="425" w:hanging="425"/>
      </w:pPr>
      <w:rPr>
        <w:rFonts w:hint="eastAsia"/>
      </w:rPr>
    </w:lvl>
    <w:lvl w:ilvl="1" w:tentative="0">
      <w:start w:val="1"/>
      <w:numFmt w:val="decimal"/>
      <w:pStyle w:val="4"/>
      <w:lvlText w:val="%1.%2."/>
      <w:lvlJc w:val="left"/>
      <w:pPr>
        <w:tabs>
          <w:tab w:val="left" w:pos="567"/>
        </w:tabs>
        <w:ind w:left="567" w:hanging="142"/>
      </w:pPr>
      <w:rPr>
        <w:rFonts w:hint="eastAsia"/>
      </w:rPr>
    </w:lvl>
    <w:lvl w:ilvl="2" w:tentative="0">
      <w:start w:val="1"/>
      <w:numFmt w:val="decimal"/>
      <w:pStyle w:val="5"/>
      <w:lvlText w:val="%1.%2.%3."/>
      <w:lvlJc w:val="left"/>
      <w:pPr>
        <w:tabs>
          <w:tab w:val="left" w:pos="709"/>
        </w:tabs>
        <w:ind w:left="709" w:firstLine="142"/>
      </w:pPr>
      <w:rPr>
        <w:rFonts w:hint="eastAsia"/>
      </w:rPr>
    </w:lvl>
    <w:lvl w:ilvl="3" w:tentative="0">
      <w:start w:val="1"/>
      <w:numFmt w:val="decimal"/>
      <w:lvlText w:val="%1.%2.%3.%4."/>
      <w:lvlJc w:val="left"/>
      <w:pPr>
        <w:tabs>
          <w:tab w:val="left" w:pos="851"/>
        </w:tabs>
        <w:ind w:left="851" w:firstLine="425"/>
      </w:pPr>
      <w:rPr>
        <w:rFonts w:hint="eastAsia"/>
      </w:rPr>
    </w:lvl>
    <w:lvl w:ilvl="4" w:tentative="0">
      <w:start w:val="1"/>
      <w:numFmt w:val="decimal"/>
      <w:lvlText w:val="%1.%2.%3.%4.%5."/>
      <w:lvlJc w:val="left"/>
      <w:pPr>
        <w:tabs>
          <w:tab w:val="left" w:pos="992"/>
        </w:tabs>
        <w:ind w:left="992" w:firstLine="709"/>
      </w:pPr>
      <w:rPr>
        <w:rFonts w:hint="eastAsia"/>
      </w:rPr>
    </w:lvl>
    <w:lvl w:ilvl="5" w:tentative="0">
      <w:start w:val="1"/>
      <w:numFmt w:val="decimal"/>
      <w:lvlText w:val="%1.%2.%3.%4.%5.%6."/>
      <w:lvlJc w:val="left"/>
      <w:pPr>
        <w:tabs>
          <w:tab w:val="left" w:pos="1134"/>
        </w:tabs>
        <w:ind w:left="1134" w:firstLine="992"/>
      </w:pPr>
      <w:rPr>
        <w:rFonts w:hint="eastAsia"/>
      </w:rPr>
    </w:lvl>
    <w:lvl w:ilvl="6" w:tentative="0">
      <w:start w:val="1"/>
      <w:numFmt w:val="decimal"/>
      <w:lvlText w:val="%1.%2.%3.%4.%5.%6.%7."/>
      <w:lvlJc w:val="left"/>
      <w:pPr>
        <w:tabs>
          <w:tab w:val="left" w:pos="1276"/>
        </w:tabs>
        <w:ind w:left="1276" w:firstLine="1276"/>
      </w:pPr>
      <w:rPr>
        <w:rFonts w:hint="eastAsia"/>
      </w:rPr>
    </w:lvl>
    <w:lvl w:ilvl="7" w:tentative="0">
      <w:start w:val="1"/>
      <w:numFmt w:val="decimal"/>
      <w:lvlText w:val="%1.%2.%3.%4.%5.%6.%7.%8."/>
      <w:lvlJc w:val="left"/>
      <w:pPr>
        <w:tabs>
          <w:tab w:val="left" w:pos="1418"/>
        </w:tabs>
        <w:ind w:left="1418" w:firstLine="1559"/>
      </w:pPr>
      <w:rPr>
        <w:rFonts w:hint="eastAsia"/>
      </w:rPr>
    </w:lvl>
    <w:lvl w:ilvl="8" w:tentative="0">
      <w:start w:val="1"/>
      <w:numFmt w:val="decimal"/>
      <w:lvlText w:val="%1.%2.%3.%4.%5.%6.%7.%8.%9."/>
      <w:lvlJc w:val="left"/>
      <w:pPr>
        <w:tabs>
          <w:tab w:val="left" w:pos="1559"/>
        </w:tabs>
        <w:ind w:left="1559" w:firstLine="1843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GQzODJmMzk0MmViZWM1ZmM1NGY3YTRiODk0NTNhMjcifQ=="/>
  </w:docVars>
  <w:rsids>
    <w:rsidRoot w:val="00274417"/>
    <w:rsid w:val="000179DE"/>
    <w:rsid w:val="00033C9A"/>
    <w:rsid w:val="000666F3"/>
    <w:rsid w:val="0008261F"/>
    <w:rsid w:val="0008417B"/>
    <w:rsid w:val="00084993"/>
    <w:rsid w:val="000A112D"/>
    <w:rsid w:val="000A4181"/>
    <w:rsid w:val="000A4AE6"/>
    <w:rsid w:val="000A4E24"/>
    <w:rsid w:val="000A5C4A"/>
    <w:rsid w:val="000B31BB"/>
    <w:rsid w:val="000C62AA"/>
    <w:rsid w:val="000D1261"/>
    <w:rsid w:val="000D53E5"/>
    <w:rsid w:val="00100AFC"/>
    <w:rsid w:val="00116A73"/>
    <w:rsid w:val="00124783"/>
    <w:rsid w:val="00135639"/>
    <w:rsid w:val="001651C3"/>
    <w:rsid w:val="00172809"/>
    <w:rsid w:val="001758AC"/>
    <w:rsid w:val="00183699"/>
    <w:rsid w:val="00186A10"/>
    <w:rsid w:val="0019663B"/>
    <w:rsid w:val="001A37E9"/>
    <w:rsid w:val="001B1A43"/>
    <w:rsid w:val="001D28E6"/>
    <w:rsid w:val="00210E59"/>
    <w:rsid w:val="00226EAC"/>
    <w:rsid w:val="00242AA0"/>
    <w:rsid w:val="0025095C"/>
    <w:rsid w:val="0025341F"/>
    <w:rsid w:val="00254517"/>
    <w:rsid w:val="00274417"/>
    <w:rsid w:val="002962DD"/>
    <w:rsid w:val="002A0FC0"/>
    <w:rsid w:val="002B6C1F"/>
    <w:rsid w:val="002C13A9"/>
    <w:rsid w:val="002C1F90"/>
    <w:rsid w:val="002D266D"/>
    <w:rsid w:val="002D46DF"/>
    <w:rsid w:val="002E2A4D"/>
    <w:rsid w:val="002E7622"/>
    <w:rsid w:val="002F1AAF"/>
    <w:rsid w:val="003022AD"/>
    <w:rsid w:val="0035400E"/>
    <w:rsid w:val="00354BD8"/>
    <w:rsid w:val="00365D15"/>
    <w:rsid w:val="0036726F"/>
    <w:rsid w:val="003868A2"/>
    <w:rsid w:val="003A5285"/>
    <w:rsid w:val="003C0DE7"/>
    <w:rsid w:val="003C6E72"/>
    <w:rsid w:val="003D385D"/>
    <w:rsid w:val="003E089C"/>
    <w:rsid w:val="003F3421"/>
    <w:rsid w:val="00401BA9"/>
    <w:rsid w:val="00430585"/>
    <w:rsid w:val="00435E20"/>
    <w:rsid w:val="00436509"/>
    <w:rsid w:val="004365F2"/>
    <w:rsid w:val="0045620F"/>
    <w:rsid w:val="00457ED2"/>
    <w:rsid w:val="00461952"/>
    <w:rsid w:val="0046516B"/>
    <w:rsid w:val="00485344"/>
    <w:rsid w:val="004A5E74"/>
    <w:rsid w:val="004C52A6"/>
    <w:rsid w:val="004F74AD"/>
    <w:rsid w:val="00536CC2"/>
    <w:rsid w:val="005438AC"/>
    <w:rsid w:val="005518E2"/>
    <w:rsid w:val="005A678B"/>
    <w:rsid w:val="005B3BF9"/>
    <w:rsid w:val="005C4392"/>
    <w:rsid w:val="005E0BB2"/>
    <w:rsid w:val="005E1DB4"/>
    <w:rsid w:val="00612658"/>
    <w:rsid w:val="006853E3"/>
    <w:rsid w:val="006B3CEB"/>
    <w:rsid w:val="006C35DC"/>
    <w:rsid w:val="006D2CA2"/>
    <w:rsid w:val="006E2C33"/>
    <w:rsid w:val="006E479D"/>
    <w:rsid w:val="006E56D8"/>
    <w:rsid w:val="006E6A18"/>
    <w:rsid w:val="006F2AD4"/>
    <w:rsid w:val="00714F0C"/>
    <w:rsid w:val="00743948"/>
    <w:rsid w:val="0074400A"/>
    <w:rsid w:val="007507B2"/>
    <w:rsid w:val="00750F63"/>
    <w:rsid w:val="00781537"/>
    <w:rsid w:val="00783BB1"/>
    <w:rsid w:val="0078492E"/>
    <w:rsid w:val="007862D9"/>
    <w:rsid w:val="00795830"/>
    <w:rsid w:val="00797E6F"/>
    <w:rsid w:val="007A08DE"/>
    <w:rsid w:val="007A5785"/>
    <w:rsid w:val="007B3B92"/>
    <w:rsid w:val="007B5102"/>
    <w:rsid w:val="007C30CB"/>
    <w:rsid w:val="007C4DDD"/>
    <w:rsid w:val="007C59B2"/>
    <w:rsid w:val="007F3AF7"/>
    <w:rsid w:val="00802E88"/>
    <w:rsid w:val="0081015D"/>
    <w:rsid w:val="008265D0"/>
    <w:rsid w:val="00833209"/>
    <w:rsid w:val="00833EE7"/>
    <w:rsid w:val="00843E42"/>
    <w:rsid w:val="00853D83"/>
    <w:rsid w:val="00887117"/>
    <w:rsid w:val="008A1CC1"/>
    <w:rsid w:val="008A32CB"/>
    <w:rsid w:val="008A614A"/>
    <w:rsid w:val="008B62AB"/>
    <w:rsid w:val="008C2372"/>
    <w:rsid w:val="008D289C"/>
    <w:rsid w:val="008D732B"/>
    <w:rsid w:val="008E1BFB"/>
    <w:rsid w:val="008F2D2C"/>
    <w:rsid w:val="00901A9C"/>
    <w:rsid w:val="00904D30"/>
    <w:rsid w:val="00915C3A"/>
    <w:rsid w:val="00915FBD"/>
    <w:rsid w:val="00921600"/>
    <w:rsid w:val="00936417"/>
    <w:rsid w:val="009948E5"/>
    <w:rsid w:val="009D41AF"/>
    <w:rsid w:val="009E44E4"/>
    <w:rsid w:val="00A16B14"/>
    <w:rsid w:val="00A2218E"/>
    <w:rsid w:val="00A4738F"/>
    <w:rsid w:val="00A66973"/>
    <w:rsid w:val="00A752A1"/>
    <w:rsid w:val="00A972C7"/>
    <w:rsid w:val="00AB39E8"/>
    <w:rsid w:val="00AD43F6"/>
    <w:rsid w:val="00AF4733"/>
    <w:rsid w:val="00B15D16"/>
    <w:rsid w:val="00B20A74"/>
    <w:rsid w:val="00B22AA9"/>
    <w:rsid w:val="00B314E9"/>
    <w:rsid w:val="00B4084C"/>
    <w:rsid w:val="00B40F8F"/>
    <w:rsid w:val="00B51FE0"/>
    <w:rsid w:val="00B555E3"/>
    <w:rsid w:val="00B7510F"/>
    <w:rsid w:val="00B77AE1"/>
    <w:rsid w:val="00B8229D"/>
    <w:rsid w:val="00B83094"/>
    <w:rsid w:val="00B93765"/>
    <w:rsid w:val="00B93B65"/>
    <w:rsid w:val="00BC7AFC"/>
    <w:rsid w:val="00BC7D38"/>
    <w:rsid w:val="00BD3E81"/>
    <w:rsid w:val="00BE092B"/>
    <w:rsid w:val="00BE6F29"/>
    <w:rsid w:val="00BF42AC"/>
    <w:rsid w:val="00C0207D"/>
    <w:rsid w:val="00C04ADC"/>
    <w:rsid w:val="00C17A32"/>
    <w:rsid w:val="00C277D1"/>
    <w:rsid w:val="00C32072"/>
    <w:rsid w:val="00C56D11"/>
    <w:rsid w:val="00C63176"/>
    <w:rsid w:val="00C87B43"/>
    <w:rsid w:val="00C94AC7"/>
    <w:rsid w:val="00CA1DB4"/>
    <w:rsid w:val="00CC2AE3"/>
    <w:rsid w:val="00CC6560"/>
    <w:rsid w:val="00CD338F"/>
    <w:rsid w:val="00D36396"/>
    <w:rsid w:val="00D3752B"/>
    <w:rsid w:val="00D44610"/>
    <w:rsid w:val="00D7559B"/>
    <w:rsid w:val="00D94686"/>
    <w:rsid w:val="00DA141C"/>
    <w:rsid w:val="00DB0DAF"/>
    <w:rsid w:val="00DC241E"/>
    <w:rsid w:val="00DD6FF3"/>
    <w:rsid w:val="00DE23F4"/>
    <w:rsid w:val="00DE2E55"/>
    <w:rsid w:val="00DF6353"/>
    <w:rsid w:val="00DF6932"/>
    <w:rsid w:val="00E23AFA"/>
    <w:rsid w:val="00E2457D"/>
    <w:rsid w:val="00E27CA4"/>
    <w:rsid w:val="00E40BCC"/>
    <w:rsid w:val="00E61E15"/>
    <w:rsid w:val="00E97F34"/>
    <w:rsid w:val="00EB747F"/>
    <w:rsid w:val="00EC1DD9"/>
    <w:rsid w:val="00EC6A73"/>
    <w:rsid w:val="00F112A9"/>
    <w:rsid w:val="00F250B8"/>
    <w:rsid w:val="00F25289"/>
    <w:rsid w:val="00F27AB8"/>
    <w:rsid w:val="00F35531"/>
    <w:rsid w:val="00F45BDD"/>
    <w:rsid w:val="00F54D7E"/>
    <w:rsid w:val="00F67A1B"/>
    <w:rsid w:val="00F97D86"/>
    <w:rsid w:val="00FA1A36"/>
    <w:rsid w:val="00FC68C1"/>
    <w:rsid w:val="00FC6B87"/>
    <w:rsid w:val="034B73A8"/>
    <w:rsid w:val="046249E2"/>
    <w:rsid w:val="0CE8076F"/>
    <w:rsid w:val="0FD52407"/>
    <w:rsid w:val="16DB0404"/>
    <w:rsid w:val="188350F6"/>
    <w:rsid w:val="31716749"/>
    <w:rsid w:val="3757357E"/>
    <w:rsid w:val="43AC0912"/>
    <w:rsid w:val="4BCF12E4"/>
    <w:rsid w:val="4CA1505C"/>
    <w:rsid w:val="535A0650"/>
    <w:rsid w:val="5476504A"/>
    <w:rsid w:val="57185D41"/>
    <w:rsid w:val="57460AC2"/>
    <w:rsid w:val="60AA3E6F"/>
    <w:rsid w:val="650E7DD6"/>
    <w:rsid w:val="70685D1E"/>
    <w:rsid w:val="73624F15"/>
    <w:rsid w:val="7C741AA9"/>
    <w:rsid w:val="7F5C05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3"/>
    <w:link w:val="23"/>
    <w:qFormat/>
    <w:uiPriority w:val="9"/>
    <w:pPr>
      <w:keepNext/>
      <w:spacing w:before="180" w:after="180" w:line="400" w:lineRule="atLeast"/>
      <w:jc w:val="left"/>
      <w:outlineLvl w:val="0"/>
    </w:pPr>
    <w:rPr>
      <w:rFonts w:ascii="等线" w:hAnsi="等线"/>
      <w:b/>
      <w:kern w:val="52"/>
      <w:sz w:val="30"/>
      <w:szCs w:val="32"/>
    </w:rPr>
  </w:style>
  <w:style w:type="paragraph" w:styleId="4">
    <w:name w:val="heading 2"/>
    <w:basedOn w:val="1"/>
    <w:next w:val="3"/>
    <w:link w:val="24"/>
    <w:qFormat/>
    <w:uiPriority w:val="9"/>
    <w:pPr>
      <w:keepNext/>
      <w:numPr>
        <w:ilvl w:val="1"/>
        <w:numId w:val="1"/>
      </w:numPr>
      <w:tabs>
        <w:tab w:val="left" w:pos="425"/>
      </w:tabs>
      <w:spacing w:line="400" w:lineRule="atLeast"/>
      <w:jc w:val="left"/>
      <w:outlineLvl w:val="1"/>
    </w:pPr>
    <w:rPr>
      <w:rFonts w:ascii="等线" w:hAnsi="等线"/>
      <w:b/>
      <w:sz w:val="28"/>
      <w:szCs w:val="28"/>
    </w:rPr>
  </w:style>
  <w:style w:type="paragraph" w:styleId="5">
    <w:name w:val="heading 3"/>
    <w:basedOn w:val="1"/>
    <w:next w:val="3"/>
    <w:link w:val="21"/>
    <w:qFormat/>
    <w:uiPriority w:val="9"/>
    <w:pPr>
      <w:keepNext/>
      <w:numPr>
        <w:ilvl w:val="2"/>
        <w:numId w:val="1"/>
      </w:numPr>
      <w:spacing w:line="300" w:lineRule="atLeast"/>
      <w:ind w:firstLine="200" w:firstLineChars="200"/>
      <w:jc w:val="left"/>
      <w:outlineLvl w:val="2"/>
    </w:pPr>
    <w:rPr>
      <w:rFonts w:ascii="等线" w:hAnsi="等线"/>
      <w:b/>
      <w:sz w:val="24"/>
      <w:szCs w:val="28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qFormat/>
    <w:uiPriority w:val="0"/>
    <w:pPr>
      <w:ind w:firstLine="200" w:firstLineChars="200"/>
    </w:pPr>
  </w:style>
  <w:style w:type="paragraph" w:styleId="6">
    <w:name w:val="Balloon Text"/>
    <w:basedOn w:val="1"/>
    <w:link w:val="18"/>
    <w:semiHidden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17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  <w:pPr>
      <w:spacing w:line="400" w:lineRule="atLeast"/>
      <w:ind w:firstLine="200" w:firstLineChars="200"/>
      <w:jc w:val="left"/>
    </w:pPr>
    <w:rPr>
      <w:rFonts w:ascii="等线" w:hAnsi="等线"/>
      <w:sz w:val="24"/>
      <w:szCs w:val="22"/>
    </w:rPr>
  </w:style>
  <w:style w:type="paragraph" w:styleId="10">
    <w:name w:val="toc 2"/>
    <w:basedOn w:val="1"/>
    <w:next w:val="1"/>
    <w:unhideWhenUsed/>
    <w:qFormat/>
    <w:uiPriority w:val="39"/>
    <w:pPr>
      <w:spacing w:line="400" w:lineRule="atLeast"/>
      <w:ind w:left="420" w:leftChars="200" w:firstLine="200" w:firstLineChars="200"/>
      <w:jc w:val="left"/>
    </w:pPr>
    <w:rPr>
      <w:rFonts w:ascii="等线" w:hAnsi="等线"/>
      <w:sz w:val="24"/>
      <w:szCs w:val="22"/>
    </w:rPr>
  </w:style>
  <w:style w:type="character" w:styleId="13">
    <w:name w:val="page number"/>
    <w:basedOn w:val="12"/>
    <w:qFormat/>
    <w:uiPriority w:val="0"/>
  </w:style>
  <w:style w:type="character" w:styleId="14">
    <w:name w:val="FollowedHyperlink"/>
    <w:qFormat/>
    <w:uiPriority w:val="0"/>
    <w:rPr>
      <w:color w:val="800080"/>
      <w:u w:val="single"/>
    </w:rPr>
  </w:style>
  <w:style w:type="character" w:styleId="15">
    <w:name w:val="Hyperlink"/>
    <w:basedOn w:val="12"/>
    <w:qFormat/>
    <w:uiPriority w:val="99"/>
    <w:rPr>
      <w:color w:val="0000FF"/>
      <w:u w:val="single"/>
    </w:rPr>
  </w:style>
  <w:style w:type="character" w:customStyle="1" w:styleId="16">
    <w:name w:val="页眉 字符"/>
    <w:basedOn w:val="12"/>
    <w:link w:val="8"/>
    <w:qFormat/>
    <w:uiPriority w:val="99"/>
    <w:rPr>
      <w:sz w:val="18"/>
      <w:szCs w:val="18"/>
    </w:rPr>
  </w:style>
  <w:style w:type="character" w:customStyle="1" w:styleId="17">
    <w:name w:val="页脚 字符"/>
    <w:basedOn w:val="12"/>
    <w:link w:val="7"/>
    <w:qFormat/>
    <w:uiPriority w:val="99"/>
    <w:rPr>
      <w:sz w:val="18"/>
      <w:szCs w:val="18"/>
    </w:rPr>
  </w:style>
  <w:style w:type="character" w:customStyle="1" w:styleId="18">
    <w:name w:val="批注框文本 字符"/>
    <w:basedOn w:val="12"/>
    <w:link w:val="6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9">
    <w:name w:val="标题 1 字符"/>
    <w:basedOn w:val="12"/>
    <w:qFormat/>
    <w:uiPriority w:val="9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12"/>
    <w:semiHidden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1">
    <w:name w:val="标题 3 字符"/>
    <w:basedOn w:val="12"/>
    <w:link w:val="5"/>
    <w:qFormat/>
    <w:uiPriority w:val="9"/>
    <w:rPr>
      <w:rFonts w:ascii="等线" w:hAnsi="等线" w:eastAsia="宋体" w:cs="Times New Roman"/>
      <w:b/>
      <w:sz w:val="24"/>
      <w:szCs w:val="28"/>
    </w:rPr>
  </w:style>
  <w:style w:type="paragraph" w:customStyle="1" w:styleId="22">
    <w:name w:val="样式5"/>
    <w:basedOn w:val="2"/>
    <w:qFormat/>
    <w:uiPriority w:val="0"/>
    <w:pPr>
      <w:keepLines/>
      <w:numPr>
        <w:ilvl w:val="0"/>
        <w:numId w:val="1"/>
      </w:numPr>
      <w:tabs>
        <w:tab w:val="clear" w:pos="425"/>
      </w:tabs>
      <w:spacing w:before="340" w:after="330" w:line="578" w:lineRule="auto"/>
      <w:ind w:left="720" w:hanging="720"/>
      <w:jc w:val="both"/>
    </w:pPr>
    <w:rPr>
      <w:bCs/>
      <w:sz w:val="44"/>
      <w:szCs w:val="44"/>
    </w:rPr>
  </w:style>
  <w:style w:type="character" w:customStyle="1" w:styleId="23">
    <w:name w:val="标题 1 字符1"/>
    <w:link w:val="2"/>
    <w:qFormat/>
    <w:uiPriority w:val="9"/>
    <w:rPr>
      <w:rFonts w:ascii="等线" w:hAnsi="等线" w:eastAsia="宋体" w:cs="Times New Roman"/>
      <w:b/>
      <w:kern w:val="52"/>
      <w:sz w:val="30"/>
      <w:szCs w:val="32"/>
    </w:rPr>
  </w:style>
  <w:style w:type="character" w:customStyle="1" w:styleId="24">
    <w:name w:val="标题 2 字符1"/>
    <w:link w:val="4"/>
    <w:qFormat/>
    <w:uiPriority w:val="9"/>
    <w:rPr>
      <w:rFonts w:ascii="等线" w:hAnsi="等线" w:eastAsia="宋体" w:cs="Times New Roman"/>
      <w:b/>
      <w:sz w:val="28"/>
      <w:szCs w:val="28"/>
    </w:rPr>
  </w:style>
  <w:style w:type="paragraph" w:customStyle="1" w:styleId="25">
    <w:name w:val="Char"/>
    <w:basedOn w:val="1"/>
    <w:next w:val="1"/>
    <w:qFormat/>
    <w:uiPriority w:val="0"/>
    <w:pPr>
      <w:widowControl/>
      <w:spacing w:line="360" w:lineRule="auto"/>
      <w:jc w:val="left"/>
    </w:pPr>
    <w:rPr>
      <w:rFonts w:eastAsia="PMingLiU"/>
      <w:sz w:val="24"/>
      <w:szCs w:val="20"/>
      <w:lang w:eastAsia="zh-TW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2" Type="http://schemas.openxmlformats.org/officeDocument/2006/relationships/fontTable" Target="fontTable.xml"/><Relationship Id="rId31" Type="http://schemas.openxmlformats.org/officeDocument/2006/relationships/customXml" Target="../customXml/item1.xml"/><Relationship Id="rId30" Type="http://schemas.openxmlformats.org/officeDocument/2006/relationships/numbering" Target="numbering.xml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D37E15-8A8D-4F9C-919A-822A2B4B3B0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13</Pages>
  <Words>1997</Words>
  <Characters>2049</Characters>
  <Lines>23</Lines>
  <Paragraphs>6</Paragraphs>
  <TotalTime>1</TotalTime>
  <ScaleCrop>false</ScaleCrop>
  <LinksUpToDate>false</LinksUpToDate>
  <CharactersWithSpaces>2075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2023-05-29T08:48:00Z</dcterms:created>
  <dc:creator>changedu</dc:creator>
  <cp:lastModifiedBy>曾健文</cp:lastModifiedBy>
  <cp:lastPrinted>2018-12-18T03:33:00Z</cp:lastPrinted>
  <dcterms:modified xsi:type="dcterms:W3CDTF">2023-05-29T08:55:39Z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FB029B188FC04DA0A1E6849E1E720238</vt:lpwstr>
  </property>
</Properties>
</file>