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bookmarkStart w:id="0" w:name="_GoBack"/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附件 3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“学创杯”贵州大学第八届创业综合模拟大赛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财务决策模拟赛方案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全程采用《理财之道》软件作为竞赛平台，模拟企业发展中的各项财务金融工作、财务工具模型运用及各方面的经营决策，团队成员根据团队财务与市场发展与竞争形势的变化做出决策，通过平衡计分卡的综合评价分数来全面衡量模拟企业的经营绩效。团队最终成绩以比赛结束后系统中显示分数结合违规扣分确定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成绩计算方法：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总成绩=四季度平均综合表现分数-违反现场纪律扣分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每季度综合表现分数=A-B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A=盈利能力+营运能力+偿债能力+发展能力+预算能力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B=报税扣分+紧急借款扣分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  <w:t>违反现场纪律扣分＝违反秩序次数*5分/次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color w:val="auto"/>
          <w:sz w:val="32"/>
          <w:szCs w:val="32"/>
          <w:lang w:bidi="hi-IN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ZlMzY4YmMzZjcxZWY1ZjYwZTIxZDMyNGVkNTQifQ=="/>
  </w:docVars>
  <w:rsids>
    <w:rsidRoot w:val="10476AAD"/>
    <w:rsid w:val="104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2024-05-13T09:37:00Z</dcterms:created>
  <dc:creator>李修修不要想太多</dc:creator>
  <cp:lastModifiedBy>李修修不要想太多</cp:lastModifiedBy>
  <dcterms:modified xsi:type="dcterms:W3CDTF">2024-05-13T09:38:12Z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3FC619C5840541969C000F7FFC051F99_11</vt:lpwstr>
  </property>
</Properties>
</file>